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28bc760bf24afa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10959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OSNOVNA ŠKOLA MONTE ZARO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1.555.856,75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1.689.901,45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108,6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1.545.296,75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1.810.588,28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117,2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120.686,83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5.305,27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3.858,40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5.305,27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3.858,40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72,7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124.545,23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Pravilnikom o izmjenama i dopunama Pravilnika o proračunskom računovodstvu i računskom planu (NN 154/24) koji je stupio na snagu 01.01.2025. godina ukinuta skupina računa 193 (kontinuirani rashodi budućih razdoblja), kontinuirani rashodi se slijedom navedenog prenose na odgovarajuće račune razreda 3 (Rashodi poslovanja) , te se u izvještajnom razdoblju 01.01.2025. - 31.12.2025. knjiži jedan rashod više nego prethodnih godina. U financijskim izvještajima u 2025. godini iskazivati će se metodološki manjak s obzirom da će kod kontinuiranih rashoda na prijelazima iz jednog u drugo izvještajno razdoblje , postojati raskorak u trenucima priznavanja rashoda i prihoda. U razdoblju od 01. siječnja do 31. prosinca 2025. god. ostvaren je višak prihoda u iznosu od 6.349,93 EUR a preneseni višak iz 2024. godine iznosi 6.365,52 EUR,  trošak plaće za 12/2025 koje su knjižene na dan 31.12.2025. god. a za koje će se prihod priznati kod knjiženja isplate plaće u siječnju  iznosi 124.529,64 EUR ( prikazan kao manjak na dan 31.12.2025. god.).  Ukupan manjak na dan 31.12.2025. god. prikazan u tablici pod Bilješka 1.  (šifra Y006)  iznosi 118.179,71 EUR.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Kapitalne pomoći proračunskim korisnicima iz proračuna koji im nije nadležan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2.815,83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1.877,69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66,7</w:t>
            </w:r>
          </w:p>
        </w:tc>
      </w:tr>
    </w:tbl>
    <w:p>
      <w:pPr>
        <w:spacing w:before="0" w:after="0"/>
      </w:pPr>
    </w:p>
    <w:p>
      <w:r>
        <w:t xml:space="preserve">U 2025. godini manja potreba za nabavkom udžbenika evidentirana na skupini konta 4- knjige ,zbog kojeg bi se evidentirao i konto 6362.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rashoda poslovanja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346.403,21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479.972,46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138,6</w:t>
            </w:r>
          </w:p>
        </w:tc>
      </w:tr>
    </w:tbl>
    <w:p>
      <w:pPr>
        <w:spacing w:before="0" w:after="0"/>
      </w:pPr>
    </w:p>
    <w:p>
      <w:r>
        <w:t xml:space="preserve">Povećanje zbog povećane osnovice za obračun plaće prema novom Kolektivnom ugovoru za javne službe.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1.359.453,79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1.621.463,98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119,3</w:t>
            </w:r>
          </w:p>
        </w:tc>
      </w:tr>
    </w:tbl>
    <w:p>
      <w:pPr>
        <w:spacing w:before="0" w:after="0"/>
      </w:pPr>
    </w:p>
    <w:p>
      <w:r>
        <w:t xml:space="preserve">Na računima skupine 31 (rashodi za zaposlene ) zbog ukidanja knjiženja na računu 193 i knjiženja jednog rashoda više, sva konta vezana za plaće imaju povećanje indeksa.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Uredski materijal i ostali materijalni rashodi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13.788,77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17.968,45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130,3</w:t>
            </w:r>
          </w:p>
        </w:tc>
      </w:tr>
    </w:tbl>
    <w:p>
      <w:pPr>
        <w:spacing w:before="0" w:after="0"/>
      </w:pPr>
    </w:p>
    <w:p>
      <w:r>
        <w:t xml:space="preserve">Povećana potreba za uredskim materijalom te materijalopm za čišćenje i održavanja škole.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Energija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16.489,25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19.843,11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120,3</w:t>
            </w:r>
          </w:p>
        </w:tc>
      </w:tr>
    </w:tbl>
    <w:p>
      <w:pPr>
        <w:spacing w:before="0" w:after="0"/>
      </w:pPr>
    </w:p>
    <w:p>
      <w:r>
        <w:t xml:space="preserve">Povećanje jer je u odnosu na prethodnu godinu naručeno više lož ulja zbog veće potrebe za grijanjem.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 i dijelovi za tekuće i investicijsko održavanje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2.545,61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4.327,89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170,0</w:t>
            </w:r>
          </w:p>
        </w:tc>
      </w:tr>
    </w:tbl>
    <w:p>
      <w:pPr>
        <w:spacing w:before="0" w:after="0"/>
      </w:pPr>
    </w:p>
    <w:p>
      <w:r>
        <w:t xml:space="preserve">Povećanje u odnosu na prethodnu godinu jer smo imali čišćenje ventilacijsko sustava nape u šk. kuhinji.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Zdravstvene i veterinarske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2.822,63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5.261,30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186,4</w:t>
            </w:r>
          </w:p>
        </w:tc>
      </w:tr>
    </w:tbl>
    <w:p>
      <w:pPr>
        <w:spacing w:before="0" w:after="0"/>
      </w:pPr>
    </w:p>
    <w:p>
      <w:r>
        <w:t xml:space="preserve">Povećanje zbog  pristiglog računa za naknadno obavljene sistematske preglede.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1.784,95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3.140,20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175,9</w:t>
            </w:r>
          </w:p>
        </w:tc>
      </w:tr>
    </w:tbl>
    <w:p>
      <w:pPr>
        <w:spacing w:before="0" w:after="0"/>
      </w:pPr>
    </w:p>
    <w:p>
      <w:r>
        <w:t xml:space="preserve">Povećanje zbog troškova izrade ključeva, izrada novog certifikata fina, uokviravanje slika i ostalih raznih neperdvidivih usluga.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120.686,83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Metodološki manjak je nastao zbog promijene načina izvješćivanja od ove godine (plaća).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Obračunati prihodi poslovanja - nenaplaćeni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5.775,99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94.618,17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1638,1</w:t>
            </w:r>
          </w:p>
        </w:tc>
      </w:tr>
    </w:tbl>
    <w:p>
      <w:pPr>
        <w:spacing w:before="0" w:after="0"/>
      </w:pPr>
    </w:p>
    <w:p>
      <w:r>
        <w:t xml:space="preserve">Promjena u načinu izvješćivanja u odnosu na prethodnu razdoblje. Od 1. siječnja 2025. god. evidentiraju se potraživanja od ne nadležnog proračuna.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Knjige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4.270,14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2.838,40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66,5</w:t>
            </w:r>
          </w:p>
        </w:tc>
      </w:tr>
    </w:tbl>
    <w:p>
      <w:pPr>
        <w:spacing w:before="0" w:after="0"/>
      </w:pPr>
    </w:p>
    <w:p>
      <w:r>
        <w:t xml:space="preserve">Manje sredstava utrošeno u odnosu na prethodnu godinu za kupnju knjiga za školsku knjižnicu i udžbenika koji se evidentiraju na toj skupini računa.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UKUPAN MANJAK PRIHODA (šifre Y034-X067)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Y004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124.545,23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Metodološki manjak je nastao zbog promijene u načinu izvještavanja plaća.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96, 97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Obračunati prihodi poslovanja i od prodaje nefinancijske imovine - nenaplaćeni (šifre 96+97)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96,97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5.775,99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94.618,17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1638,1</w:t>
            </w:r>
          </w:p>
        </w:tc>
      </w:tr>
    </w:tbl>
    <w:p>
      <w:pPr>
        <w:spacing w:before="0" w:after="0"/>
      </w:pPr>
    </w:p>
    <w:p>
      <w:r>
        <w:t xml:space="preserve">Promjena u načinu izvješćivanja u odnosu na prethodno razdoblje. Od 1. siječnja 2025. godine evidentiraju se potraživanja od ne nadležnog proračuna.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Manjak prihoda i primitaka za pokriće u sljedećem razdoblju (šifre Y005 + '9222-9221' - X005 - '9221-9222' 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Y006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118.179,71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Metodološki manjak je nastao zbog promijene u načinu izvješćivanja plaća.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budućih razdoblja i nedospjela naplata prihoda (aktivna vremenska razgraničenja)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121.814,31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Od 1. siječnja 2025. ukinuto je evidentiranje plaće na skupini 193.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Obvezni i preventivni zdravstveni pregledi zaposlenika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1.897,97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4.320,00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227,6</w:t>
            </w:r>
          </w:p>
        </w:tc>
      </w:tr>
    </w:tbl>
    <w:p>
      <w:pPr>
        <w:spacing w:before="0" w:after="0"/>
      </w:pPr>
    </w:p>
    <w:p>
      <w:r>
        <w:t xml:space="preserve">Povećanje zbog  pristiglog računa za naknadno obavljene sistematske preglede.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Bilanca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Potraživanja za prihode poslovanja (šifre 161 do 163 + 164 do 168-169)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25.484,86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105.566,17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414,2</w:t>
            </w:r>
          </w:p>
        </w:tc>
      </w:tr>
    </w:tbl>
    <w:p>
      <w:pPr>
        <w:spacing w:before="0" w:after="0"/>
      </w:pPr>
    </w:p>
    <w:p>
      <w:r>
        <w:t xml:space="preserve">Promjena u načinu izvješćivanja u odnosu na prethodno razdoblje. Od 01. siječnja 2025. god. evidentiraju  se potraživanja od ne nadležnog proračuna.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budućih razdoblja i nedospjela naplata prihoda (aktivna vremenska razgraničenja) (šifre 191 do 193)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121.814,31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Od 1. siječnja 2025. ukinuto je evidentiranje plaće na skupini 193.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za predujmove, depozite, jamčevne pologe i tuđe prihode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959,78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1.963,58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204,6</w:t>
            </w:r>
          </w:p>
        </w:tc>
      </w:tr>
    </w:tbl>
    <w:p>
      <w:pPr>
        <w:spacing w:before="0" w:after="0"/>
      </w:pPr>
    </w:p>
    <w:p>
      <w:r>
        <w:t xml:space="preserve">Od 1. siječnja 2025. evidentira se novi račun za bolovanje na teret HZZO-a.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Rezultat - višak/manjak (šifre 9221-9222)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6.365,52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-118.179,71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-1856,6</w:t>
            </w:r>
          </w:p>
        </w:tc>
      </w:tr>
    </w:tbl>
    <w:p>
      <w:pPr>
        <w:spacing w:before="0" w:after="0"/>
      </w:pPr>
    </w:p>
    <w:p>
      <w:r>
        <w:t xml:space="preserve">Metodološki manjak je nastao zbog promijene u načinu izvještavanja plaća.</w:t>
      </w:r>
    </w:p>
    <w:p>
      <w:r>
        <w:t xml:space="preserve">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Obračunati prihodi poslovanja (šifre 961 do 963 + 964 do 968)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5.775,99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94.618,17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1638,1</w:t>
            </w:r>
          </w:p>
        </w:tc>
      </w:tr>
    </w:tbl>
    <w:p>
      <w:pPr>
        <w:spacing w:before="0" w:after="0"/>
      </w:pPr>
    </w:p>
    <w:p>
      <w:r>
        <w:t xml:space="preserve">Promjena u načinu izvješćivanja u odnosu na prethodnu razdoblje. Od 1. siječnja 2025. god. evidentiraju se potraživanja od ne nadležnog proračuna.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27612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proračunskih korisnika za povrat u proračun - bolovanje HZZO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27612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959,78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1.963,58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204,6</w:t>
            </w:r>
          </w:p>
        </w:tc>
      </w:tr>
    </w:tbl>
    <w:p>
      <w:pPr>
        <w:spacing w:before="0" w:after="0"/>
      </w:pPr>
    </w:p>
    <w:p>
      <w:r>
        <w:t xml:space="preserve">Povećano korištenje bolovanja na teret HZZO-a.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Promjene u vrijednosti i obujmu imovine i obveza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Proizvedena dugotrajna imovina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21.766,22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Novo evidentiranje prema čl.121 pravilnika o proračunskom računovodstvu i računskom planu.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Proizvedena dugotrajna imovina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P018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11.629,56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Zaprimljena oprema i izvršeni radovi od strane osnivača.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22.180,90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Sastoji se od neplaćenih računa s valutom do 31.12.2025. naknadno preuzetih.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81982243b10443a6" /></Relationships>
</file>